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                         RENAN DOS SANTOS SI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LVA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-13333</wp:posOffset>
                </wp:positionH>
                <wp:positionV relativeFrom="paragraph">
                  <wp:posOffset>338455</wp:posOffset>
                </wp:positionV>
                <wp:extent cx="5400675" cy="1270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-13333</wp:posOffset>
                </wp:positionH>
                <wp:positionV relativeFrom="paragraph">
                  <wp:posOffset>338455</wp:posOffset>
                </wp:positionV>
                <wp:extent cx="5400675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End: Rua Santo Hilário nº 95 Jd. Maria Estela – São Paulo - SP</w:t>
        <w:br w:type="textWrapping"/>
        <w:t xml:space="preserve">Telefone: (11) 9-4840-875</w:t>
      </w:r>
      <w:r w:rsidDel="00000000" w:rsidR="00000000" w:rsidRPr="00000000">
        <w:rPr>
          <w:rFonts w:ascii="Arial" w:cs="Arial" w:eastAsia="Arial" w:hAnsi="Arial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(tim)</w:t>
        <w:br w:type="textWrapping"/>
        <w:t xml:space="preserve">Data de Nasc: 01/10/1990 - </w:t>
      </w:r>
      <w:r w:rsidDel="00000000" w:rsidR="00000000" w:rsidRPr="00000000">
        <w:rPr>
          <w:rFonts w:ascii="Arial" w:cs="Arial" w:eastAsia="Arial" w:hAnsi="Arial"/>
          <w:rtl w:val="0"/>
        </w:rPr>
        <w:t xml:space="preserve">CASADO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shd w:fill="d9d9d9" w:val="clear"/>
            <w:tcMar>
              <w:top w:w="28.0" w:type="dxa"/>
              <w:bottom w:w="28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Formação Acadêmica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Ensino Médio Completo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 Senai Torneiro Mecânico 240 horas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Operador e Programador Siemns 120 horas.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shd w:fill="d9d9d9" w:val="clear"/>
            <w:tcMar>
              <w:top w:w="28.0" w:type="dxa"/>
              <w:bottom w:w="28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Experiência Profissional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Pano Etc... Confecções Ltda.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Ajudante Geral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01/07/2008  à  17/03/2011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ASTM Acessórios Serviços Técnicos Metalúrgico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Operador de Laminadora e Torneiro Revolver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01/04/2011  à  19/07/2017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